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28"/>
          <w:szCs w:val="28"/>
          <w:lang w:eastAsia="ru-RU"/>
        </w:rPr>
      </w:pPr>
      <w:r>
        <w:rPr>
          <w:rFonts w:cs="PT Astra Serif" w:ascii="PT Astra Serif" w:hAnsi="PT Astra Serif"/>
          <w:b/>
          <w:sz w:val="28"/>
          <w:szCs w:val="28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28"/>
          <w:szCs w:val="28"/>
          <w:lang w:eastAsia="ru-RU"/>
        </w:rPr>
      </w:pPr>
      <w:r>
        <w:rPr>
          <w:rFonts w:cs="PT Astra Serif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28"/>
          <w:szCs w:val="28"/>
          <w:lang w:eastAsia="ru-RU"/>
        </w:rPr>
      </w:pPr>
      <w:r>
        <w:rPr>
          <w:rFonts w:cs="PT Astra Serif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  <w:t>к проекту федерального закона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  <w:t>«О внесении изменений в статьи 16 и 17 Федерального закона</w:t>
        <w:br/>
        <w:t>«О ведении гражданами садоводства и огородничества</w:t>
        <w:br/>
        <w:t>для собственных нужд и о внесении изменений в отдельные законодательные акты Российской Федерации»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PT Astra Serif" w:hAnsi="PT Astra Serif" w:cs="PT Astra Serif"/>
          <w:b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PT Astra Serif" w:hAnsi="PT Astra Serif" w:cs="PT Astra Serif"/>
          <w:b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</w:r>
    </w:p>
    <w:p>
      <w:pPr>
        <w:pStyle w:val="Normal"/>
        <w:spacing w:lineRule="auto" w:line="336" w:before="0" w:after="0"/>
        <w:ind w:firstLine="709"/>
        <w:jc w:val="both"/>
        <w:rPr/>
      </w:pPr>
      <w:r>
        <w:rPr>
          <w:rFonts w:cs="PT Astra Serif" w:ascii="PT Astra Serif" w:hAnsi="PT Astra Serif"/>
          <w:sz w:val="28"/>
          <w:szCs w:val="28"/>
        </w:rPr>
        <w:t>Проект федерального закона «О внесении изменений в статьи 16 и 17</w:t>
      </w:r>
      <w:r>
        <w:rPr>
          <w:rFonts w:cs="PT Astra Serif" w:ascii="PT Astra Serif" w:hAnsi="PT Astra Serif"/>
          <w:b/>
          <w:sz w:val="28"/>
          <w:szCs w:val="28"/>
        </w:rPr>
        <w:t xml:space="preserve"> </w:t>
      </w:r>
      <w:r>
        <w:rPr>
          <w:rFonts w:cs="PT Astra Serif" w:ascii="PT Astra Serif" w:hAnsi="PT Astra Serif"/>
          <w:sz w:val="28"/>
          <w:szCs w:val="28"/>
        </w:rPr>
        <w:t>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– законопроект) подготовлен</w:t>
        <w:br/>
        <w:t>в соответствии с пунктом 12 постановления Совета Федерации Федерального Собрания Российской Федерации от 27.02.2019 № 44-СФ «О государственной поддержке социально-экономического развития Ульяновской области».</w:t>
      </w:r>
    </w:p>
    <w:p>
      <w:pPr>
        <w:pStyle w:val="Style25"/>
        <w:tabs>
          <w:tab w:val="left" w:pos="851" w:leader="none"/>
          <w:tab w:val="left" w:pos="6237" w:leader="none"/>
        </w:tabs>
        <w:spacing w:lineRule="auto" w:line="336"/>
        <w:ind w:left="0" w:right="0" w:firstLine="709"/>
        <w:jc w:val="both"/>
        <w:rPr/>
      </w:pPr>
      <w:r>
        <w:rPr>
          <w:rFonts w:cs="PT Astra Serif" w:ascii="PT Astra Serif" w:hAnsi="PT Astra Serif"/>
          <w:sz w:val="28"/>
          <w:szCs w:val="28"/>
          <w:lang w:eastAsia="en-US"/>
        </w:rPr>
        <w:t>Законопроект разработан в целях дополнения Федерального закона</w:t>
        <w:br/>
        <w:t xml:space="preserve">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– Федеральный закон № 217-ФЗ) положением, предусматривающим возможность участия в общем собрании  уполномоченных представителей членов товарищества. </w:t>
      </w:r>
    </w:p>
    <w:p>
      <w:pPr>
        <w:pStyle w:val="Style25"/>
        <w:tabs>
          <w:tab w:val="left" w:pos="851" w:leader="none"/>
          <w:tab w:val="left" w:pos="6237" w:leader="none"/>
        </w:tabs>
        <w:spacing w:lineRule="auto" w:line="336"/>
        <w:ind w:left="0" w:right="0" w:firstLine="709"/>
        <w:jc w:val="both"/>
        <w:rPr/>
      </w:pPr>
      <w:r>
        <w:rPr>
          <w:rFonts w:cs="PT Astra Serif" w:ascii="PT Astra Serif" w:hAnsi="PT Astra Serif"/>
          <w:sz w:val="28"/>
          <w:szCs w:val="28"/>
          <w:lang w:eastAsia="en-US"/>
        </w:rPr>
        <w:t xml:space="preserve">По информации </w:t>
      </w: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 xml:space="preserve">Ульяновской Областной Ассоциации Садоводов,  граждане, занятые садоводством и огородничеством, неоднократно обращались в Ассоциацию с просьбой вернуть такой институт как «уполномоченные представители членов товарищества», </w:t>
      </w:r>
      <w:r>
        <w:rPr>
          <w:rFonts w:cs="PT Astra Serif" w:ascii="PT Astra Serif" w:hAnsi="PT Astra Serif"/>
          <w:sz w:val="28"/>
          <w:szCs w:val="28"/>
          <w:lang w:eastAsia="en-US"/>
        </w:rPr>
        <w:t>который был предусмотрен ранее</w:t>
        <w:br/>
        <w:t xml:space="preserve">в </w:t>
      </w:r>
      <w:r>
        <w:rPr>
          <w:rFonts w:cs="PT Astra Serif" w:ascii="PT Astra Serif" w:hAnsi="PT Astra Serif"/>
          <w:sz w:val="28"/>
          <w:szCs w:val="28"/>
        </w:rPr>
        <w:t>пункте 2 статьи 20 Федерального закона от 15.04.1998 № 66-ФЗ</w:t>
        <w:br/>
        <w:t>«О садоводческих, огороднических и дачных некоммерческих объединениях граждан», утратившим силу с 1 января 2019 года</w:t>
      </w:r>
      <w:r>
        <w:rPr>
          <w:rFonts w:cs="PT Astra Serif" w:ascii="PT Astra Serif" w:hAnsi="PT Astra Serif"/>
          <w:sz w:val="28"/>
          <w:szCs w:val="28"/>
          <w:lang w:eastAsia="ru-RU"/>
        </w:rPr>
        <w:t>.</w:t>
      </w:r>
    </w:p>
    <w:p>
      <w:pPr>
        <w:pStyle w:val="Normal"/>
        <w:tabs>
          <w:tab w:val="clear" w:pos="720"/>
          <w:tab w:val="left" w:pos="851" w:leader="none"/>
          <w:tab w:val="left" w:pos="6237" w:leader="none"/>
        </w:tabs>
        <w:spacing w:lineRule="auto" w:line="336" w:before="0" w:after="0"/>
        <w:ind w:firstLine="709"/>
        <w:jc w:val="both"/>
        <w:rPr/>
      </w:pP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 xml:space="preserve">В </w:t>
      </w:r>
      <w:r>
        <w:rPr>
          <w:rFonts w:cs="PT Astra Serif" w:ascii="PT Astra Serif" w:hAnsi="PT Astra Serif"/>
          <w:b w:val="false"/>
          <w:i w:val="false"/>
          <w:strike w:val="false"/>
          <w:dstrike w:val="false"/>
          <w:color w:val="000000"/>
          <w:sz w:val="28"/>
          <w:szCs w:val="28"/>
          <w:u w:val="none"/>
          <w:lang w:eastAsia="ru-RU"/>
        </w:rPr>
        <w:t>Федеральном законе от 29.07.2017 № 217-ФЗ не предусмотрено участие</w:t>
        <w:br/>
        <w:t xml:space="preserve">в общем собрании представителей. </w:t>
      </w:r>
      <w:r>
        <w:rPr>
          <w:rFonts w:cs="PT Astra Serif"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  <w:lang w:eastAsia="ru-RU"/>
        </w:rPr>
        <w:t>Вместе с тем, согласно пояснениям Минэкономразвития России «</w:t>
      </w:r>
      <w:r>
        <w:rPr>
          <w:rFonts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</w:rPr>
        <w:t>Ведение гражданами садоводства и огородни-чества для собственных нужд в соответствии с Федеральным законом</w:t>
        <w:br/>
        <w:t xml:space="preserve">от 29.07.2017 № 217-ФЗ для участия в общем собрании </w:t>
      </w:r>
      <w:bookmarkStart w:id="0" w:name="__DdeLink__106_270316925"/>
      <w:r>
        <w:rPr>
          <w:rFonts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</w:rPr>
        <w:t>членов товарищества</w:t>
      </w:r>
      <w:bookmarkEnd w:id="0"/>
      <w:r>
        <w:rPr>
          <w:rFonts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</w:rPr>
        <w:br/>
        <w:t xml:space="preserve">в соответствии с установленным в настоящее время порядком представителю по доверенности на каждом заседании общего собрания членов товарищества необходимо иметь доверенности от лиц, которых он представляет. Такие </w:t>
      </w:r>
      <w:r>
        <w:rPr>
          <w:rFonts w:ascii="PT Astra Serif" w:hAnsi="PT Astra Serif"/>
          <w:b w:val="false"/>
          <w:bCs w:val="false"/>
          <w:i w:val="false"/>
          <w:strike w:val="false"/>
          <w:dstrike w:val="false"/>
          <w:sz w:val="28"/>
          <w:szCs w:val="28"/>
          <w:highlight w:val="white"/>
          <w:u w:val="none"/>
        </w:rPr>
        <w:t>полномочия представителей могут подтверждаться только доверенностями, оформленными в установленном законодательством порядке. При этом необходимо учитывать, что в основной своей массе граждане, являющиеся членами товариществ не имеют соответствующих знаний в части требований</w:t>
        <w:br/>
        <w:t xml:space="preserve">к оформлению доверенности, а значит </w:t>
      </w:r>
      <w:r>
        <w:rPr>
          <w:rFonts w:cs="PT Astra Serif" w:ascii="PT Astra Serif" w:hAnsi="PT Astra Serif"/>
          <w:sz w:val="28"/>
          <w:szCs w:val="28"/>
          <w:lang w:eastAsia="ru-RU"/>
        </w:rPr>
        <w:t>появляется возможность оспорить принятые решения в судебном порядке</w:t>
      </w: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 xml:space="preserve">. </w:t>
      </w:r>
      <w:r>
        <w:rPr>
          <w:rFonts w:cs="PT Astra Serif" w:ascii="PT Astra Serif" w:hAnsi="PT Astra Serif"/>
          <w:b w:val="false"/>
          <w:i w:val="false"/>
          <w:strike w:val="false"/>
          <w:dstrike w:val="false"/>
          <w:color w:val="000000"/>
          <w:sz w:val="28"/>
          <w:szCs w:val="28"/>
          <w:u w:val="none"/>
          <w:lang w:eastAsia="ru-RU"/>
        </w:rPr>
        <w:t xml:space="preserve">Также следует учесть, что простая письменная форма доверенности не предусматривает какой-либо возможности проконтролировать количество лиц, которые уполномочены лицом, выдавшем доверенность. </w:t>
      </w: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>С</w:t>
      </w:r>
      <w:r>
        <w:rPr>
          <w:rFonts w:cs="PT Astra Serif" w:ascii="PT Astra Serif" w:hAnsi="PT Astra Serif"/>
          <w:sz w:val="28"/>
          <w:szCs w:val="28"/>
          <w:lang w:eastAsia="ru-RU"/>
        </w:rPr>
        <w:t>ледовательно, руководствуясь пунктом</w:t>
      </w:r>
      <w:r>
        <w:rPr>
          <w:rFonts w:cs="PT Astra Serif" w:ascii="PT Astra Serif" w:hAnsi="PT Astra Serif"/>
          <w:color w:val="0000FF"/>
          <w:sz w:val="26"/>
          <w:szCs w:val="26"/>
          <w:lang w:eastAsia="ru-RU"/>
        </w:rPr>
        <w:t xml:space="preserve"> </w:t>
      </w: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>1 части 1 статьи 181</w:t>
      </w:r>
      <w:r>
        <w:rPr>
          <w:rFonts w:cs="PT Astra Serif" w:ascii="PT Astra Serif" w:hAnsi="PT Astra Serif"/>
          <w:color w:val="000000"/>
          <w:sz w:val="28"/>
          <w:szCs w:val="28"/>
          <w:vertAlign w:val="superscript"/>
          <w:lang w:eastAsia="ru-RU"/>
        </w:rPr>
        <w:t>4</w:t>
      </w: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 xml:space="preserve"> Гражданского кодекса Российской Федерации решение собрания может быть признано судом недействительным при нарушении требований закона, в том числе в случае, если допущено существенное нарушение порядка созыва, подготовки и проведения собрания, влияющее на волеизъявление участников собрания</w:t>
      </w:r>
      <w:r>
        <w:rPr>
          <w:rFonts w:cs="PT Astra Serif" w:ascii="PT Astra Serif" w:hAnsi="PT Astra Serif"/>
          <w:color w:val="000000"/>
          <w:sz w:val="26"/>
          <w:szCs w:val="26"/>
          <w:lang w:eastAsia="ru-RU"/>
        </w:rPr>
        <w:t xml:space="preserve">. </w:t>
      </w: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 xml:space="preserve">Поэтому </w:t>
      </w:r>
      <w:r>
        <w:rPr>
          <w:rFonts w:cs="PT Astra Serif" w:ascii="PT Astra Serif" w:hAnsi="PT Astra Serif"/>
          <w:bCs/>
          <w:color w:val="000000"/>
          <w:sz w:val="28"/>
          <w:szCs w:val="28"/>
          <w:lang w:eastAsia="ru-RU"/>
        </w:rPr>
        <w:t xml:space="preserve">подтверждение полномочий представителя владельца земельного участка в общем собрании членов товарищества часто оформляется путем </w:t>
      </w:r>
      <w:r>
        <w:rPr>
          <w:rFonts w:cs="PT Astra Serif" w:ascii="PT Astra Serif" w:hAnsi="PT Astra Serif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  <w:lang w:eastAsia="ru-RU"/>
        </w:rPr>
        <w:t>нотариального удостоверения доверенностей</w:t>
      </w:r>
      <w:r>
        <w:rPr>
          <w:rFonts w:cs="PT Astra Serif" w:ascii="PT Astra Serif" w:hAnsi="PT Astra Serif"/>
          <w:bCs/>
          <w:color w:val="000000"/>
          <w:sz w:val="28"/>
          <w:szCs w:val="28"/>
          <w:lang w:eastAsia="ru-RU"/>
        </w:rPr>
        <w:t>, что влечет определенные денежные затраты.</w:t>
      </w:r>
    </w:p>
    <w:p>
      <w:pPr>
        <w:pStyle w:val="Normal"/>
        <w:tabs>
          <w:tab w:val="clear" w:pos="720"/>
          <w:tab w:val="left" w:pos="851" w:leader="none"/>
          <w:tab w:val="left" w:pos="6237" w:leader="none"/>
        </w:tabs>
        <w:spacing w:lineRule="auto" w:line="336" w:before="0" w:after="0"/>
        <w:ind w:firstLine="709"/>
        <w:jc w:val="both"/>
        <w:rPr>
          <w:sz w:val="28"/>
          <w:szCs w:val="28"/>
        </w:rPr>
      </w:pP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>Кроме того, согласно законопроекту уполномоченных представителей членов товарищества выбирают из членов товарищества, что в свою очередь предусматривает, что уполномоченное лицо обладает более полной информацией о деятельности товарищества, чем стороннее</w:t>
      </w:r>
      <w:r>
        <w:rPr>
          <w:rFonts w:cs="PT Astra Serif" w:ascii="PT Astra Serif" w:hAnsi="PT Astra Serif"/>
          <w:color w:val="000000"/>
          <w:sz w:val="28"/>
          <w:szCs w:val="28"/>
          <w:lang w:val="ru-RU" w:eastAsia="ru-RU"/>
        </w:rPr>
        <w:t xml:space="preserve"> лицо, уполномоченное по доверенности.</w:t>
      </w:r>
    </w:p>
    <w:p>
      <w:pPr>
        <w:pStyle w:val="Normal"/>
        <w:tabs>
          <w:tab w:val="clear" w:pos="720"/>
          <w:tab w:val="left" w:pos="851" w:leader="none"/>
          <w:tab w:val="left" w:pos="6237" w:leader="none"/>
        </w:tabs>
        <w:spacing w:lineRule="auto" w:line="336" w:before="0" w:after="0"/>
        <w:ind w:firstLine="709"/>
        <w:jc w:val="both"/>
        <w:rPr>
          <w:rFonts w:ascii="PT Astra Serif" w:hAnsi="PT Astra Serif" w:cs="PT Astra Serif"/>
          <w:b w:val="false"/>
          <w:b w:val="false"/>
          <w:i w:val="false"/>
          <w:i w:val="false"/>
          <w:strike w:val="false"/>
          <w:dstrike w:val="false"/>
          <w:color w:val="000000"/>
          <w:sz w:val="28"/>
          <w:szCs w:val="28"/>
          <w:u w:val="none"/>
          <w:lang w:eastAsia="ru-RU"/>
        </w:rPr>
      </w:pPr>
      <w:r>
        <w:rPr>
          <w:rFonts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В связи с тем, что </w:t>
      </w:r>
      <w:r>
        <w:rPr>
          <w:rFonts w:cs="PT Astra Serif"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  <w:lang w:eastAsia="en-US"/>
        </w:rPr>
        <w:t>Федеральный закон № 217-ФЗ вступил в силу только</w:t>
        <w:br/>
        <w:t>с 01.01.2019 имеется незначительная судебная практика, касающаяся  оспаривания решений общих собраний участников товарищества в части процедуры голосования с участием представителей. Вместе с тем аналогичные вопросы рассмотрены в отношении товариществ собственников жилья</w:t>
        <w:br/>
        <w:t>и товариществ собственников недвижимости, например в о</w:t>
      </w:r>
      <w:r>
        <w:rPr>
          <w:rFonts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пределении Верховного Суда Российской Федерации от </w:t>
      </w:r>
      <w:r>
        <w:rPr>
          <w:rFonts w:ascii="PT Astra Serif" w:hAnsi="PT Astra Serif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15.01.2019 № 85-КГ18-18.</w:t>
      </w:r>
    </w:p>
    <w:p>
      <w:pPr>
        <w:pStyle w:val="Normal"/>
        <w:tabs>
          <w:tab w:val="clear" w:pos="720"/>
          <w:tab w:val="left" w:pos="851" w:leader="none"/>
          <w:tab w:val="left" w:pos="6237" w:leader="none"/>
        </w:tabs>
        <w:spacing w:lineRule="auto" w:line="336" w:before="0" w:after="0"/>
        <w:ind w:firstLine="709"/>
        <w:jc w:val="both"/>
        <w:rPr/>
      </w:pPr>
      <w:r>
        <w:rPr>
          <w:rFonts w:cs="PT Astra Serif" w:ascii="PT Astra Serif" w:hAnsi="PT Astra Serif"/>
          <w:b w:val="false"/>
          <w:i w:val="false"/>
          <w:strike w:val="false"/>
          <w:dstrike w:val="false"/>
          <w:color w:val="000000"/>
          <w:sz w:val="28"/>
          <w:szCs w:val="28"/>
          <w:u w:val="none"/>
          <w:lang w:eastAsia="ru-RU"/>
        </w:rPr>
        <w:t>Кроме того, согласно данным, представленным Чувашским региональным отделением Союза садоводов России количество зарегистрированных участков в одном из садоводческих некоммерческих товариществ составляет 2326 единиц. Количество зарегистрированных участков в Пензенской области достигают 2500 единиц в одном садоводческом некоммерческом товариществе. В соответствии с информацией, представленной Ульяновской Областной Ассоциацией Садоводов количество таких участков достигает 6000 в одном садоводческом некоммерческом товариществе. Даже собрание представителей, действующих по доверенности, написанной в простой письменной форме при этом должно проходить</w:t>
        <w:br/>
        <w:t>на масштабной территории при обеспечении безопасного и свободного доступа на общее собрание как членов товарищества, так и лиц, правообладателей садовых или огородных земельных участков, не являющихся членами товарищества (садоводы), которое должно быть обеспечено в соответствии</w:t>
        <w:br/>
        <w:t xml:space="preserve">с Федеральным законом № 217-ФЗ. </w:t>
      </w:r>
    </w:p>
    <w:p>
      <w:pPr>
        <w:pStyle w:val="Normal"/>
        <w:spacing w:lineRule="auto" w:line="336" w:before="0" w:after="0"/>
        <w:ind w:firstLine="709"/>
        <w:jc w:val="both"/>
        <w:rPr/>
      </w:pPr>
      <w:r>
        <w:rPr>
          <w:rFonts w:cs="PT Astra Serif" w:ascii="PT Astra Serif" w:hAnsi="PT Astra Serif"/>
          <w:sz w:val="28"/>
          <w:szCs w:val="28"/>
        </w:rPr>
        <w:t xml:space="preserve">Принятие законопроекта </w:t>
      </w:r>
      <w:r>
        <w:rPr>
          <w:rFonts w:cs="PT Astra Serif" w:ascii="PT Astra Serif" w:hAnsi="PT Astra Serif"/>
          <w:color w:val="000000"/>
          <w:sz w:val="28"/>
          <w:szCs w:val="28"/>
          <w:lang w:eastAsia="ru-RU"/>
        </w:rPr>
        <w:t xml:space="preserve">позволит усовершенствовать процедуру </w:t>
      </w:r>
      <w:r>
        <w:rPr>
          <w:rFonts w:cs="PT Astra Serif" w:ascii="PT Astra Serif" w:hAnsi="PT Astra Serif"/>
          <w:sz w:val="28"/>
          <w:szCs w:val="28"/>
        </w:rPr>
        <w:t>организации и проведения общих собраний членов товарищества, а также   представит возможность гражданам реализовать свое право на участие в общем собрании товарищества через уполномоченных.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cs="PT Astra Serif"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cs="PT Astra Serif"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PT Astra Serif" w:ascii="PT Astra Serif" w:hAnsi="PT Astra Serif"/>
          <w:sz w:val="28"/>
          <w:szCs w:val="28"/>
          <w:lang w:eastAsia="ru-RU"/>
        </w:rPr>
        <w:t>_____________</w:t>
      </w:r>
    </w:p>
    <w:sectPr>
      <w:headerReference w:type="default" r:id="rId2"/>
      <w:headerReference w:type="first" r:id="rId3"/>
      <w:type w:val="nextPage"/>
      <w:pgSz w:w="11906" w:h="16838"/>
      <w:pgMar w:left="1701" w:right="567" w:header="720" w:top="1134" w:footer="0" w:bottom="1134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TimesDL">
    <w:altName w:val="Segoe Script"/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spacing w:before="0" w:after="200"/>
      <w:jc w:val="center"/>
      <w:rPr/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3</w:t>
    </w:r>
    <w:r>
      <w:rPr>
        <w:sz w:val="28"/>
        <w:szCs w:val="28"/>
        <w:rFonts w:cs="Times New Roman"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spacing w:before="0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 w:before="0" w:after="480"/>
      <w:ind w:left="0" w:right="851" w:hanging="0"/>
      <w:jc w:val="center"/>
      <w:outlineLvl w:val="1"/>
    </w:pPr>
    <w:rPr>
      <w:rFonts w:ascii="Times New Roman" w:hAnsi="Times New Roman" w:cs="Times New Roman"/>
      <w:b/>
      <w:bCs/>
      <w:color w:val="0000FF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3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Style14">
    <w:name w:val="Основной текст Знак"/>
    <w:qFormat/>
    <w:rPr>
      <w:color w:val="000000"/>
      <w:sz w:val="24"/>
      <w:szCs w:val="24"/>
      <w:lang w:val="ru-RU" w:bidi="ar-SA"/>
    </w:rPr>
  </w:style>
  <w:style w:type="character" w:styleId="Style15">
    <w:name w:val="Верхний колонтитул Знак"/>
    <w:qFormat/>
    <w:rPr>
      <w:rFonts w:ascii="Calibri" w:hAnsi="Calibri" w:cs="Calibri"/>
      <w:sz w:val="22"/>
      <w:szCs w:val="22"/>
    </w:rPr>
  </w:style>
  <w:style w:type="character" w:styleId="Style16">
    <w:name w:val="Нижний колонтитул Знак"/>
    <w:qFormat/>
    <w:rPr>
      <w:rFonts w:ascii="Calibri" w:hAnsi="Calibri" w:cs="Calibri"/>
      <w:sz w:val="22"/>
      <w:szCs w:val="22"/>
    </w:rPr>
  </w:style>
  <w:style w:type="character" w:styleId="HTML">
    <w:name w:val="Стандартный HTML Знак"/>
    <w:qFormat/>
    <w:rPr>
      <w:rFonts w:ascii="Courier New" w:hAnsi="Courier New" w:cs="Courier New"/>
    </w:rPr>
  </w:style>
  <w:style w:type="character" w:styleId="Style17">
    <w:name w:val="Интернет-ссылка"/>
    <w:rPr>
      <w:color w:val="000080"/>
      <w:u w:val="single"/>
      <w:lang w:val="zxx" w:bidi="zxx"/>
    </w:rPr>
  </w:style>
  <w:style w:type="character" w:styleId="Style18">
    <w:name w:val="Символ нумерации"/>
    <w:qFormat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;Times New Roman"/>
      <w:sz w:val="28"/>
      <w:szCs w:val="28"/>
    </w:rPr>
  </w:style>
  <w:style w:type="paragraph" w:styleId="Style20">
    <w:name w:val="Body Text"/>
    <w:basedOn w:val="Normal"/>
    <w:pPr>
      <w:spacing w:lineRule="auto" w:line="240" w:before="0" w:after="0"/>
      <w:ind w:left="0" w:right="4818" w:hanging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;Times New Roman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ascii="PT Astra Serif" w:hAnsi="PT Astra Serif" w:cs="Noto Sans Devanagari;Times New Roman"/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ascii="PT Astra Serif" w:hAnsi="PT Astra Serif" w:cs="Noto Sans Devanagari;Times New Roma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5">
    <w:name w:val="подпись"/>
    <w:basedOn w:val="Normal"/>
    <w:qFormat/>
    <w:pPr>
      <w:tabs>
        <w:tab w:val="clear" w:pos="720"/>
        <w:tab w:val="left" w:pos="6237" w:leader="none"/>
      </w:tabs>
      <w:overflowPunct w:val="false"/>
      <w:spacing w:lineRule="atLeast" w:line="240" w:before="0" w:after="0"/>
      <w:ind w:left="284" w:right="5387" w:hanging="0"/>
      <w:textAlignment w:val="baseline"/>
    </w:pPr>
    <w:rPr>
      <w:rFonts w:ascii="TimesDL;Segoe Script" w:hAnsi="TimesDL;Segoe Script" w:cs="Times New Roman"/>
      <w:sz w:val="26"/>
      <w:szCs w:val="20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>
      <w:rFonts w:cs="Times New Roman"/>
      <w:lang w:val="ru-RU"/>
    </w:rPr>
  </w:style>
  <w:style w:type="paragraph" w:styleId="Style29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>
      <w:rFonts w:cs="Times New Roman"/>
      <w:lang w:val="ru-RU"/>
    </w:rPr>
  </w:style>
  <w:style w:type="paragraph" w:styleId="HTML1">
    <w:name w:val="Стандартный HTML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sz w:val="20"/>
      <w:szCs w:val="20"/>
    </w:rPr>
  </w:style>
  <w:style w:type="paragraph" w:styleId="ConsNonformat">
    <w:name w:val="ConsNonformat"/>
    <w:qFormat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Normal_x005F_x005F_x005F_x005F_x005F_x005F_x005F_x005F_x005F_x005F_x005F_x005F_x005F_x005F_x005F_x005F_x005F_x005F_x005F_x005F_x005F_x005F_x005F_x005F_x005F_x005F_x0000_</Template>
  <TotalTime>201</TotalTime>
  <Application>LibreOffice/6.3.5.2$Linux_X86_64 LibreOffice_project/30$Build-2</Application>
  <Pages>3</Pages>
  <Words>629</Words>
  <Characters>4639</Characters>
  <CharactersWithSpaces>5264</CharactersWithSpaces>
  <Paragraphs>13</Paragraphs>
  <Company>КонсультантПлюс Версия 4019.00.23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2020-05-19T10:43:00Z</dcterms:created>
  <dc:creator>Авзалова Л.Ф.</dc:creator>
  <dc:description/>
  <dc:language>ru-RU</dc:language>
  <cp:lastModifiedBy/>
  <cp:lastPrinted>2020-05-19T10:48:23Z</cp:lastPrinted>
  <dcterms:modified xsi:type="dcterms:W3CDTF">2020-05-19T10:48:26Z</dcterms:modified>
  <cp:revision>14</cp:revision>
  <dc:subject/>
  <dc:title>"Гражданский кодекс Российской Федерации (часть первая)" от 30.11.1994 N 51-ФЗ(ред. от 16.12.2019, с изм. от 12.05.2020)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4019.00.23</vt:lpwstr>
  </property>
</Properties>
</file>